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5D1" w:rsidRPr="00B93EB7" w:rsidRDefault="00E25354" w:rsidP="00B93EB7">
      <w:pPr>
        <w:rPr>
          <w:b/>
          <w:lang w:val="bg-BG"/>
        </w:rPr>
      </w:pPr>
      <w:r>
        <w:rPr>
          <w:lang w:val="bg-BG"/>
        </w:rPr>
        <w:t xml:space="preserve">                                                                                             </w:t>
      </w:r>
      <w:r w:rsidR="006C35DB">
        <w:rPr>
          <w:lang w:val="bg-BG"/>
        </w:rPr>
        <w:tab/>
      </w:r>
      <w:r w:rsidR="006C35DB">
        <w:rPr>
          <w:lang w:val="bg-BG"/>
        </w:rPr>
        <w:tab/>
      </w:r>
      <w:r w:rsidR="006C35DB">
        <w:rPr>
          <w:lang w:val="bg-BG"/>
        </w:rPr>
        <w:tab/>
      </w:r>
      <w:r w:rsidR="006C35DB">
        <w:rPr>
          <w:lang w:val="bg-BG"/>
        </w:rPr>
        <w:tab/>
      </w:r>
      <w:r w:rsidR="006C35DB">
        <w:rPr>
          <w:lang w:val="bg-BG"/>
        </w:rPr>
        <w:tab/>
      </w:r>
      <w:r w:rsidR="006C35DB">
        <w:rPr>
          <w:lang w:val="bg-BG"/>
        </w:rPr>
        <w:tab/>
      </w:r>
      <w:r w:rsidR="006C35DB">
        <w:rPr>
          <w:lang w:val="bg-BG"/>
        </w:rPr>
        <w:tab/>
      </w:r>
      <w:r w:rsidR="006C35DB">
        <w:rPr>
          <w:lang w:val="bg-BG"/>
        </w:rPr>
        <w:tab/>
      </w:r>
      <w:r w:rsidR="006C35DB" w:rsidRPr="006C35DB">
        <w:rPr>
          <w:b/>
          <w:lang w:val="bg-BG"/>
        </w:rPr>
        <w:t>Приложение</w:t>
      </w:r>
      <w:r w:rsidR="00EC24C6">
        <w:rPr>
          <w:b/>
          <w:lang w:val="bg-BG"/>
        </w:rPr>
        <w:t xml:space="preserve"> 3</w:t>
      </w:r>
    </w:p>
    <w:p w:rsidR="00B47377" w:rsidRPr="00B47377" w:rsidRDefault="00B47377" w:rsidP="00B93E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B47377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Списък на предложените за отхвърляне проектни предложения</w:t>
      </w:r>
    </w:p>
    <w:p w:rsidR="00B47377" w:rsidRPr="00B47377" w:rsidRDefault="00B47377" w:rsidP="00B473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B47377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и основанието за отхвърляне </w:t>
      </w:r>
    </w:p>
    <w:p w:rsidR="00B47377" w:rsidRDefault="00B47377" w:rsidP="00B473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B47377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по оценителна сесия № </w:t>
      </w:r>
      <w:r w:rsidRPr="00B4737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BG</w:t>
      </w:r>
      <w:r w:rsidRPr="00B473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06</w:t>
      </w:r>
      <w:r w:rsidRPr="00B4737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RDNP</w:t>
      </w:r>
      <w:r w:rsidRPr="00B473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001-19.</w:t>
      </w:r>
      <w:r w:rsidR="00101E3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42</w:t>
      </w:r>
      <w:r w:rsidR="00EF5F6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1</w:t>
      </w:r>
      <w:r w:rsidRPr="00B473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43472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–</w:t>
      </w:r>
      <w:r w:rsidRPr="00B47377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="0043472B">
        <w:rPr>
          <w:rFonts w:ascii="Times New Roman" w:eastAsia="Times New Roman" w:hAnsi="Times New Roman" w:cs="Times New Roman"/>
          <w:b/>
          <w:sz w:val="24"/>
          <w:szCs w:val="24"/>
        </w:rPr>
        <w:t>S2</w:t>
      </w:r>
      <w:r w:rsidRPr="00B47377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43472B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втори</w:t>
      </w:r>
      <w:r w:rsidRPr="00B47377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прием на Процедура № </w:t>
      </w:r>
      <w:r w:rsidRPr="00B4737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BG</w:t>
      </w:r>
      <w:r w:rsidRPr="00B473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06</w:t>
      </w:r>
      <w:r w:rsidRPr="00B4737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RDNP</w:t>
      </w:r>
      <w:r w:rsidRPr="00B473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001-19.</w:t>
      </w:r>
      <w:r w:rsidR="00101E3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42</w:t>
      </w:r>
      <w:r w:rsidR="00EF5F6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1</w:t>
      </w:r>
      <w:r w:rsidRPr="00B47377">
        <w:rPr>
          <w:rFonts w:ascii="Times New Roman" w:eastAsia="Times New Roman" w:hAnsi="Times New Roman" w:cs="Times New Roman"/>
          <w:b/>
          <w:sz w:val="24"/>
          <w:szCs w:val="24"/>
          <w:shd w:val="clear" w:color="auto" w:fill="FEFEFE"/>
          <w:lang w:val="bg-BG"/>
        </w:rPr>
        <w:t xml:space="preserve"> </w:t>
      </w:r>
      <w:r w:rsidR="00101E3F" w:rsidRPr="00101E3F">
        <w:rPr>
          <w:rFonts w:ascii="Times New Roman" w:eastAsia="Times New Roman" w:hAnsi="Times New Roman" w:cs="Times New Roman"/>
          <w:b/>
          <w:sz w:val="24"/>
          <w:szCs w:val="24"/>
          <w:shd w:val="clear" w:color="auto" w:fill="FEFEFE"/>
          <w:lang w:val="bg-BG"/>
        </w:rPr>
        <w:t>„МИГ Луковит-Роман“ - мярка 19-</w:t>
      </w:r>
      <w:r w:rsidR="00EF5F6A">
        <w:rPr>
          <w:rFonts w:ascii="Times New Roman" w:eastAsia="Times New Roman" w:hAnsi="Times New Roman" w:cs="Times New Roman"/>
          <w:b/>
          <w:sz w:val="24"/>
          <w:szCs w:val="24"/>
          <w:shd w:val="clear" w:color="auto" w:fill="FEFEFE"/>
          <w:lang w:val="bg-BG"/>
        </w:rPr>
        <w:t>6.4</w:t>
      </w:r>
      <w:r w:rsidR="00101E3F" w:rsidRPr="00101E3F">
        <w:rPr>
          <w:rFonts w:ascii="Times New Roman" w:eastAsia="Times New Roman" w:hAnsi="Times New Roman" w:cs="Times New Roman"/>
          <w:b/>
          <w:sz w:val="24"/>
          <w:szCs w:val="24"/>
          <w:shd w:val="clear" w:color="auto" w:fill="FEFEFE"/>
          <w:lang w:val="bg-BG"/>
        </w:rPr>
        <w:t xml:space="preserve"> „Инвестиции в </w:t>
      </w:r>
      <w:r w:rsidR="00EF5F6A">
        <w:rPr>
          <w:rFonts w:ascii="Times New Roman" w:eastAsia="Times New Roman" w:hAnsi="Times New Roman" w:cs="Times New Roman"/>
          <w:b/>
          <w:sz w:val="24"/>
          <w:szCs w:val="24"/>
          <w:shd w:val="clear" w:color="auto" w:fill="FEFEFE"/>
          <w:lang w:val="bg-BG"/>
        </w:rPr>
        <w:t>подкрепа на неземеделски дейности</w:t>
      </w:r>
      <w:r w:rsidR="00101E3F" w:rsidRPr="00101E3F">
        <w:rPr>
          <w:rFonts w:ascii="Times New Roman" w:eastAsia="Times New Roman" w:hAnsi="Times New Roman" w:cs="Times New Roman"/>
          <w:b/>
          <w:sz w:val="24"/>
          <w:szCs w:val="24"/>
          <w:shd w:val="clear" w:color="auto" w:fill="FEFEFE"/>
          <w:lang w:val="bg-BG"/>
        </w:rPr>
        <w:t>“</w:t>
      </w:r>
      <w:r w:rsidR="00101E3F">
        <w:rPr>
          <w:rFonts w:ascii="Times New Roman" w:eastAsia="Times New Roman" w:hAnsi="Times New Roman" w:cs="Times New Roman"/>
          <w:b/>
          <w:sz w:val="24"/>
          <w:szCs w:val="24"/>
          <w:shd w:val="clear" w:color="auto" w:fill="FEFEFE"/>
          <w:lang w:val="en-US"/>
        </w:rPr>
        <w:t xml:space="preserve"> </w:t>
      </w:r>
      <w:r w:rsidRPr="00B47377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от Стратегия за ВОМР на</w:t>
      </w:r>
      <w:r w:rsidRPr="00B473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101E3F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Сдружение</w:t>
      </w:r>
      <w:r w:rsidR="00101E3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B47377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„МИГ </w:t>
      </w:r>
      <w:r w:rsidR="00101E3F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Луковит-Роман</w:t>
      </w:r>
      <w:r w:rsidRPr="00B47377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“</w:t>
      </w:r>
    </w:p>
    <w:p w:rsidR="00101E3F" w:rsidRDefault="00101E3F" w:rsidP="00B473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101E3F" w:rsidRPr="00B47377" w:rsidRDefault="00101E3F" w:rsidP="00B473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tbl>
      <w:tblPr>
        <w:tblStyle w:val="a5"/>
        <w:tblW w:w="15168" w:type="dxa"/>
        <w:tblInd w:w="-431" w:type="dxa"/>
        <w:tblLook w:val="04A0" w:firstRow="1" w:lastRow="0" w:firstColumn="1" w:lastColumn="0" w:noHBand="0" w:noVBand="1"/>
      </w:tblPr>
      <w:tblGrid>
        <w:gridCol w:w="3114"/>
        <w:gridCol w:w="3118"/>
        <w:gridCol w:w="2268"/>
        <w:gridCol w:w="6668"/>
      </w:tblGrid>
      <w:tr w:rsidR="00B47377" w:rsidTr="00B93EB7">
        <w:tc>
          <w:tcPr>
            <w:tcW w:w="3114" w:type="dxa"/>
          </w:tcPr>
          <w:p w:rsidR="00B47377" w:rsidRPr="00B47377" w:rsidRDefault="00B47377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47377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Проектно предложение –рег.№</w:t>
            </w:r>
          </w:p>
        </w:tc>
        <w:tc>
          <w:tcPr>
            <w:tcW w:w="3118" w:type="dxa"/>
          </w:tcPr>
          <w:p w:rsidR="00B47377" w:rsidRPr="00B47377" w:rsidRDefault="00B47377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47377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Наименование </w:t>
            </w:r>
          </w:p>
        </w:tc>
        <w:tc>
          <w:tcPr>
            <w:tcW w:w="2268" w:type="dxa"/>
          </w:tcPr>
          <w:p w:rsidR="00B47377" w:rsidRPr="00B47377" w:rsidRDefault="00B47377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47377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Кандидат</w:t>
            </w:r>
          </w:p>
        </w:tc>
        <w:tc>
          <w:tcPr>
            <w:tcW w:w="6668" w:type="dxa"/>
          </w:tcPr>
          <w:p w:rsidR="00B47377" w:rsidRPr="0039470C" w:rsidRDefault="00E25354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9470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</w:t>
            </w:r>
            <w:r w:rsidR="006D5F3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Ос</w:t>
            </w:r>
            <w:r w:rsidR="00B47377" w:rsidRPr="0039470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нование за отхвърляне </w:t>
            </w:r>
          </w:p>
        </w:tc>
      </w:tr>
      <w:tr w:rsidR="008A67F4" w:rsidTr="00B93EB7">
        <w:tc>
          <w:tcPr>
            <w:tcW w:w="3114" w:type="dxa"/>
          </w:tcPr>
          <w:p w:rsidR="008A67F4" w:rsidRPr="00CD3E94" w:rsidRDefault="008A67F4" w:rsidP="008A67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67F4" w:rsidRPr="00CD3E94" w:rsidRDefault="008A67F4" w:rsidP="008A67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3E94">
              <w:rPr>
                <w:rFonts w:ascii="Times New Roman" w:hAnsi="Times New Roman" w:cs="Times New Roman"/>
                <w:sz w:val="24"/>
                <w:szCs w:val="24"/>
              </w:rPr>
              <w:t>BG0</w:t>
            </w:r>
            <w:bookmarkStart w:id="0" w:name="_GoBack"/>
            <w:bookmarkEnd w:id="0"/>
            <w:r w:rsidRPr="00CD3E94">
              <w:rPr>
                <w:rFonts w:ascii="Times New Roman" w:hAnsi="Times New Roman" w:cs="Times New Roman"/>
                <w:sz w:val="24"/>
                <w:szCs w:val="24"/>
              </w:rPr>
              <w:t>6RDNP001-19.421-0012</w:t>
            </w:r>
          </w:p>
        </w:tc>
        <w:tc>
          <w:tcPr>
            <w:tcW w:w="3118" w:type="dxa"/>
          </w:tcPr>
          <w:p w:rsidR="008A67F4" w:rsidRPr="00CD3E94" w:rsidRDefault="008A67F4" w:rsidP="008A67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3E94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CD3E94">
              <w:rPr>
                <w:rFonts w:ascii="Times New Roman" w:hAnsi="Times New Roman" w:cs="Times New Roman"/>
                <w:sz w:val="24"/>
                <w:szCs w:val="24"/>
              </w:rPr>
              <w:t>Предлагане</w:t>
            </w:r>
            <w:proofErr w:type="spellEnd"/>
            <w:r w:rsidRPr="00CD3E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3E9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D3E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3E94">
              <w:rPr>
                <w:rFonts w:ascii="Times New Roman" w:hAnsi="Times New Roman" w:cs="Times New Roman"/>
                <w:sz w:val="24"/>
                <w:szCs w:val="24"/>
              </w:rPr>
              <w:t>нови</w:t>
            </w:r>
            <w:proofErr w:type="spellEnd"/>
            <w:r w:rsidRPr="00CD3E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3E94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D3E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3E94">
              <w:rPr>
                <w:rFonts w:ascii="Times New Roman" w:hAnsi="Times New Roman" w:cs="Times New Roman"/>
                <w:sz w:val="24"/>
                <w:szCs w:val="24"/>
              </w:rPr>
              <w:t>региона</w:t>
            </w:r>
            <w:proofErr w:type="spellEnd"/>
            <w:r w:rsidRPr="00CD3E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3E94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proofErr w:type="spellEnd"/>
            <w:r w:rsidRPr="00CD3E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3E94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CD3E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3E94">
              <w:rPr>
                <w:rFonts w:ascii="Times New Roman" w:hAnsi="Times New Roman" w:cs="Times New Roman"/>
                <w:sz w:val="24"/>
                <w:szCs w:val="24"/>
              </w:rPr>
              <w:t>Карс</w:t>
            </w:r>
            <w:proofErr w:type="spellEnd"/>
            <w:r w:rsidRPr="00CD3E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3E94"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  <w:proofErr w:type="spellEnd"/>
            <w:r w:rsidRPr="00CD3E94">
              <w:rPr>
                <w:rFonts w:ascii="Times New Roman" w:hAnsi="Times New Roman" w:cs="Times New Roman"/>
                <w:sz w:val="24"/>
                <w:szCs w:val="24"/>
              </w:rPr>
              <w:t xml:space="preserve"> ООД“</w:t>
            </w:r>
          </w:p>
        </w:tc>
        <w:tc>
          <w:tcPr>
            <w:tcW w:w="2268" w:type="dxa"/>
          </w:tcPr>
          <w:p w:rsidR="008A67F4" w:rsidRPr="00CD3E94" w:rsidRDefault="008A67F4" w:rsidP="008A67F4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КАРС ПРО ООД (ЕИК: 203424141)</w:t>
            </w:r>
          </w:p>
        </w:tc>
        <w:tc>
          <w:tcPr>
            <w:tcW w:w="6668" w:type="dxa"/>
          </w:tcPr>
          <w:p w:rsidR="008A67F4" w:rsidRPr="009D1262" w:rsidRDefault="008A67F4" w:rsidP="008A67F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Дейностите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проекта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съответстват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обхвата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условията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мярката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СВОМР и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по-конкретно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принципите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европейското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право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националните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правила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 ПРСР 2014-2020,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поради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следните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обстоятелства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:</w:t>
            </w:r>
          </w:p>
          <w:p w:rsidR="008A67F4" w:rsidRPr="009D1262" w:rsidRDefault="008A67F4" w:rsidP="008A67F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</w:t>
            </w:r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ab/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кандидатът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заявява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намерения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отдава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закупените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проекта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машини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т.е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.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преотстъпва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ползването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активите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тъй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като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самият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кандидат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в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предмета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си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дейност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няма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предоставяне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услуги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със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специализирани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машини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инженерни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строителни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ремонтни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дейности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8A67F4" w:rsidRPr="00B93EB7" w:rsidRDefault="008A67F4" w:rsidP="008A67F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</w:t>
            </w:r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ab/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съгласно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подточка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2.5.7.2 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Условия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изпълнение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процедурата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="00B93EB7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бенефициентите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нямат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право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каквато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е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форма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преотстъпват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ползването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 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извършват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разпоредителни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сделки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активи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-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предмет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подпомагане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административния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договор</w:t>
            </w:r>
            <w:proofErr w:type="spellEnd"/>
            <w:r w:rsidRPr="009D12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</w:tr>
    </w:tbl>
    <w:p w:rsidR="00B47377" w:rsidRPr="00B47377" w:rsidRDefault="00B47377">
      <w:pPr>
        <w:rPr>
          <w:lang w:val="bg-BG"/>
        </w:rPr>
      </w:pPr>
    </w:p>
    <w:sectPr w:rsidR="00B47377" w:rsidRPr="00B47377" w:rsidSect="00B93EB7">
      <w:headerReference w:type="default" r:id="rId7"/>
      <w:pgSz w:w="16838" w:h="11906" w:orient="landscape"/>
      <w:pgMar w:top="1440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6E22" w:rsidRDefault="001F6E22" w:rsidP="00101E3F">
      <w:pPr>
        <w:spacing w:after="0" w:line="240" w:lineRule="auto"/>
      </w:pPr>
      <w:r>
        <w:separator/>
      </w:r>
    </w:p>
  </w:endnote>
  <w:endnote w:type="continuationSeparator" w:id="0">
    <w:p w:rsidR="001F6E22" w:rsidRDefault="001F6E22" w:rsidP="00101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6E22" w:rsidRDefault="001F6E22" w:rsidP="00101E3F">
      <w:pPr>
        <w:spacing w:after="0" w:line="240" w:lineRule="auto"/>
      </w:pPr>
      <w:r>
        <w:separator/>
      </w:r>
    </w:p>
  </w:footnote>
  <w:footnote w:type="continuationSeparator" w:id="0">
    <w:p w:rsidR="001F6E22" w:rsidRDefault="001F6E22" w:rsidP="00101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1E3F" w:rsidRDefault="00101E3F" w:rsidP="00101E3F">
    <w:pPr>
      <w:spacing w:after="0" w:line="240" w:lineRule="auto"/>
      <w:rPr>
        <w:rFonts w:eastAsia="Times New Roman" w:cs="Times New Roman"/>
        <w:noProof/>
      </w:rPr>
    </w:pPr>
  </w:p>
  <w:p w:rsidR="00101E3F" w:rsidRDefault="00101E3F" w:rsidP="00101E3F">
    <w:pPr>
      <w:spacing w:after="0" w:line="240" w:lineRule="auto"/>
      <w:rPr>
        <w:rFonts w:eastAsia="Times New Roman" w:cs="Times New Roman"/>
        <w:i/>
        <w:noProof/>
        <w:u w:val="single"/>
        <w:lang w:val="ru-RU"/>
      </w:rPr>
    </w:pPr>
    <w:r>
      <w:rPr>
        <w:rFonts w:eastAsia="Times New Roman" w:cs="Times New Roman"/>
        <w:noProof/>
      </w:rPr>
      <w:t xml:space="preserve">                   </w:t>
    </w:r>
    <w:r w:rsidRPr="00371A33">
      <w:rPr>
        <w:rFonts w:eastAsia="Times New Roman" w:cs="Times New Roman"/>
        <w:noProof/>
      </w:rPr>
      <w:t xml:space="preserve"> </w:t>
    </w:r>
    <w:r w:rsidRPr="00371A33">
      <w:rPr>
        <w:rFonts w:eastAsia="Times New Roman" w:cs="Times New Roman"/>
        <w:noProof/>
        <w:u w:val="single"/>
        <w:lang w:val="bg-BG" w:eastAsia="bg-BG"/>
      </w:rPr>
      <w:drawing>
        <wp:inline distT="0" distB="0" distL="0" distR="0" wp14:anchorId="240FC2E4" wp14:editId="0BB47588">
          <wp:extent cx="958553" cy="693420"/>
          <wp:effectExtent l="0" t="0" r="0" b="0"/>
          <wp:docPr id="3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6931" cy="706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71A33">
      <w:rPr>
        <w:rFonts w:eastAsia="Times New Roman" w:cs="Times New Roman"/>
        <w:noProof/>
        <w:u w:val="single"/>
      </w:rPr>
      <w:t xml:space="preserve">     </w:t>
    </w:r>
    <w:r>
      <w:rPr>
        <w:rFonts w:eastAsia="Times New Roman" w:cs="Times New Roman"/>
        <w:noProof/>
        <w:u w:val="single"/>
      </w:rPr>
      <w:t xml:space="preserve">      </w:t>
    </w:r>
    <w:r w:rsidRPr="00371A33">
      <w:rPr>
        <w:rFonts w:eastAsia="Times New Roman" w:cs="Times New Roman"/>
        <w:noProof/>
        <w:u w:val="single"/>
      </w:rPr>
      <w:t xml:space="preserve">   </w:t>
    </w:r>
    <w:r w:rsidRPr="00371A33">
      <w:rPr>
        <w:rFonts w:eastAsia="Times New Roman" w:cs="Times New Roman"/>
        <w:i/>
        <w:noProof/>
        <w:u w:val="single"/>
        <w:lang w:val="bg-BG" w:eastAsia="bg-BG"/>
      </w:rPr>
      <w:drawing>
        <wp:inline distT="0" distB="0" distL="0" distR="0" wp14:anchorId="250D8793" wp14:editId="1316C97A">
          <wp:extent cx="861060" cy="657954"/>
          <wp:effectExtent l="19050" t="19050" r="15240" b="27940"/>
          <wp:docPr id="3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7403" cy="662801"/>
                  </a:xfrm>
                  <a:prstGeom prst="rect">
                    <a:avLst/>
                  </a:prstGeom>
                  <a:noFill/>
                  <a:ln>
                    <a:solidFill>
                      <a:schemeClr val="tx1"/>
                    </a:solidFill>
                  </a:ln>
                </pic:spPr>
              </pic:pic>
            </a:graphicData>
          </a:graphic>
        </wp:inline>
      </w:drawing>
    </w:r>
    <w:r w:rsidRPr="00371A33">
      <w:rPr>
        <w:rFonts w:eastAsia="Times New Roman" w:cs="Times New Roman"/>
        <w:i/>
        <w:noProof/>
        <w:u w:val="single"/>
      </w:rPr>
      <w:t xml:space="preserve">   </w:t>
    </w:r>
    <w:r w:rsidRPr="00371A33">
      <w:rPr>
        <w:rFonts w:eastAsia="Times New Roman" w:cs="Times New Roman"/>
        <w:i/>
        <w:noProof/>
        <w:u w:val="single"/>
        <w:lang w:val="ru-RU"/>
      </w:rPr>
      <w:t xml:space="preserve">   </w:t>
    </w:r>
    <w:r w:rsidRPr="00371A33">
      <w:rPr>
        <w:rFonts w:eastAsia="Times New Roman" w:cs="Times New Roman"/>
        <w:i/>
        <w:noProof/>
        <w:u w:val="single"/>
        <w:lang w:val="en-US"/>
      </w:rPr>
      <w:t xml:space="preserve"> </w:t>
    </w:r>
    <w:r>
      <w:rPr>
        <w:rFonts w:eastAsia="Times New Roman" w:cs="Times New Roman"/>
        <w:i/>
        <w:noProof/>
        <w:u w:val="single"/>
      </w:rPr>
      <w:t xml:space="preserve">     </w:t>
    </w:r>
    <w:r w:rsidRPr="00371A33">
      <w:rPr>
        <w:rFonts w:eastAsia="Times New Roman" w:cs="Times New Roman"/>
        <w:i/>
        <w:noProof/>
        <w:u w:val="single"/>
        <w:lang w:val="ru-RU"/>
      </w:rPr>
      <w:t xml:space="preserve">   </w:t>
    </w:r>
    <w:r>
      <w:rPr>
        <w:rFonts w:eastAsia="Times New Roman" w:cs="Times New Roman"/>
        <w:i/>
        <w:noProof/>
        <w:u w:val="single"/>
        <w:lang w:val="bg-BG" w:eastAsia="bg-BG"/>
      </w:rPr>
      <w:drawing>
        <wp:inline distT="0" distB="0" distL="0" distR="0" wp14:anchorId="6C3C1433" wp14:editId="57DFE249">
          <wp:extent cx="899160" cy="762331"/>
          <wp:effectExtent l="0" t="0" r="0" b="0"/>
          <wp:docPr id="33" name="Картина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0187" cy="771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371A33">
      <w:rPr>
        <w:rFonts w:eastAsia="Times New Roman" w:cs="Times New Roman"/>
        <w:i/>
        <w:noProof/>
        <w:u w:val="single"/>
        <w:lang w:val="ru-RU"/>
      </w:rPr>
      <w:t xml:space="preserve"> </w:t>
    </w:r>
    <w:r w:rsidRPr="00371A33">
      <w:rPr>
        <w:rFonts w:eastAsia="Times New Roman" w:cs="Times New Roman"/>
        <w:i/>
        <w:noProof/>
        <w:u w:val="single"/>
        <w:lang w:val="en-US"/>
      </w:rPr>
      <w:t xml:space="preserve">    </w:t>
    </w:r>
    <w:r w:rsidRPr="00371A33">
      <w:rPr>
        <w:rFonts w:eastAsia="Times New Roman" w:cs="Times New Roman"/>
        <w:i/>
        <w:noProof/>
        <w:u w:val="single"/>
        <w:lang w:val="ru-RU"/>
      </w:rPr>
      <w:t xml:space="preserve"> </w:t>
    </w:r>
    <w:r>
      <w:rPr>
        <w:rFonts w:eastAsia="Times New Roman" w:cs="Times New Roman"/>
        <w:i/>
        <w:noProof/>
        <w:u w:val="single"/>
        <w:lang w:val="ru-RU"/>
      </w:rPr>
      <w:t xml:space="preserve">     </w:t>
    </w:r>
    <w:r>
      <w:rPr>
        <w:rFonts w:eastAsia="Times New Roman" w:cs="Times New Roman"/>
        <w:i/>
        <w:noProof/>
        <w:u w:val="single"/>
        <w:lang w:val="en-US"/>
      </w:rPr>
      <w:t xml:space="preserve">  </w:t>
    </w:r>
    <w:r w:rsidRPr="00371A33">
      <w:rPr>
        <w:rFonts w:eastAsia="Times New Roman" w:cs="Times New Roman"/>
        <w:i/>
        <w:noProof/>
        <w:u w:val="single"/>
        <w:lang w:val="en-US"/>
      </w:rPr>
      <w:t xml:space="preserve"> </w:t>
    </w:r>
    <w:r w:rsidRPr="00371A33">
      <w:rPr>
        <w:rFonts w:eastAsia="Times New Roman" w:cs="Times New Roman"/>
        <w:i/>
        <w:noProof/>
        <w:u w:val="single"/>
        <w:lang w:val="ru-RU"/>
      </w:rPr>
      <w:t xml:space="preserve"> </w:t>
    </w:r>
    <w:r w:rsidRPr="00371A33">
      <w:rPr>
        <w:rFonts w:eastAsia="Times New Roman" w:cs="Times New Roman"/>
        <w:i/>
        <w:noProof/>
        <w:u w:val="single"/>
        <w:lang w:val="bg-BG" w:eastAsia="bg-BG"/>
      </w:rPr>
      <w:drawing>
        <wp:inline distT="0" distB="0" distL="0" distR="0" wp14:anchorId="42F8EACD" wp14:editId="6254A3F8">
          <wp:extent cx="1764087" cy="746760"/>
          <wp:effectExtent l="19050" t="19050" r="26670" b="15240"/>
          <wp:docPr id="34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708" cy="751679"/>
                  </a:xfrm>
                  <a:prstGeom prst="rect">
                    <a:avLst/>
                  </a:prstGeom>
                  <a:noFill/>
                  <a:ln>
                    <a:solidFill>
                      <a:schemeClr val="tx1"/>
                    </a:solidFill>
                  </a:ln>
                </pic:spPr>
              </pic:pic>
            </a:graphicData>
          </a:graphic>
        </wp:inline>
      </w:drawing>
    </w:r>
    <w:r w:rsidRPr="00371A33">
      <w:rPr>
        <w:rFonts w:eastAsia="Times New Roman" w:cs="Times New Roman"/>
        <w:i/>
        <w:noProof/>
        <w:u w:val="single"/>
        <w:lang w:val="ru-RU"/>
      </w:rPr>
      <w:t xml:space="preserve">  </w:t>
    </w:r>
    <w:r w:rsidRPr="00371A33">
      <w:rPr>
        <w:rFonts w:eastAsia="Times New Roman" w:cs="Times New Roman"/>
        <w:i/>
        <w:noProof/>
        <w:u w:val="single"/>
      </w:rPr>
      <w:t xml:space="preserve">    </w:t>
    </w:r>
    <w:r w:rsidRPr="00371A33">
      <w:rPr>
        <w:rFonts w:eastAsia="Times New Roman" w:cs="Times New Roman"/>
        <w:i/>
        <w:noProof/>
        <w:u w:val="single"/>
        <w:lang w:val="ru-RU"/>
      </w:rPr>
      <w:t xml:space="preserve"> </w:t>
    </w:r>
    <w:r>
      <w:rPr>
        <w:rFonts w:eastAsia="Times New Roman" w:cs="Times New Roman"/>
        <w:i/>
        <w:noProof/>
        <w:u w:val="single"/>
        <w:lang w:val="ru-RU"/>
      </w:rPr>
      <w:t xml:space="preserve">        </w:t>
    </w:r>
    <w:r w:rsidRPr="00371A33">
      <w:rPr>
        <w:rFonts w:eastAsia="Times New Roman" w:cs="Times New Roman"/>
        <w:i/>
        <w:noProof/>
        <w:u w:val="single"/>
        <w:lang w:val="en-US"/>
      </w:rPr>
      <w:t xml:space="preserve"> </w:t>
    </w:r>
    <w:r>
      <w:rPr>
        <w:rFonts w:eastAsia="Times New Roman" w:cs="Times New Roman"/>
        <w:i/>
        <w:noProof/>
        <w:u w:val="single"/>
        <w:lang w:val="ru-RU"/>
      </w:rPr>
      <w:t xml:space="preserve"> </w:t>
    </w:r>
    <w:r w:rsidRPr="00371A33">
      <w:rPr>
        <w:rFonts w:eastAsia="Times New Roman" w:cs="Times New Roman"/>
        <w:noProof/>
        <w:u w:val="single"/>
        <w:lang w:val="bg-BG" w:eastAsia="bg-BG"/>
      </w:rPr>
      <w:drawing>
        <wp:inline distT="0" distB="0" distL="0" distR="0" wp14:anchorId="642357B4" wp14:editId="3AE882D6">
          <wp:extent cx="993554" cy="731520"/>
          <wp:effectExtent l="19050" t="19050" r="16510" b="11430"/>
          <wp:docPr id="3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13" cy="729354"/>
                  </a:xfrm>
                  <a:prstGeom prst="rect">
                    <a:avLst/>
                  </a:prstGeom>
                  <a:noFill/>
                  <a:ln w="9525" cmpd="sng">
                    <a:solidFill>
                      <a:srgbClr val="000000"/>
                    </a:solidFill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inline>
      </w:drawing>
    </w:r>
  </w:p>
  <w:p w:rsidR="00101E3F" w:rsidRPr="003D070B" w:rsidRDefault="00101E3F" w:rsidP="00101E3F">
    <w:pPr>
      <w:spacing w:after="0" w:line="240" w:lineRule="auto"/>
      <w:jc w:val="center"/>
      <w:rPr>
        <w:rFonts w:eastAsia="Times New Roman" w:cs="Times New Roman"/>
        <w:noProof/>
        <w:sz w:val="20"/>
        <w:szCs w:val="20"/>
        <w:lang w:val="ru-RU"/>
      </w:rPr>
    </w:pPr>
    <w:r w:rsidRPr="003D070B">
      <w:rPr>
        <w:rFonts w:eastAsia="Times New Roman" w:cs="Times New Roman"/>
        <w:noProof/>
        <w:sz w:val="20"/>
        <w:szCs w:val="20"/>
        <w:lang w:val="ru-RU"/>
      </w:rPr>
      <w:t>„Европейски земеделски фонд за развитие на селските райони – Европа инвестира в селските райони”</w:t>
    </w:r>
  </w:p>
  <w:p w:rsidR="00101E3F" w:rsidRPr="003D070B" w:rsidRDefault="00101E3F" w:rsidP="00101E3F">
    <w:pPr>
      <w:spacing w:after="0" w:line="240" w:lineRule="auto"/>
      <w:jc w:val="center"/>
      <w:rPr>
        <w:rFonts w:eastAsia="Times New Roman" w:cs="Times New Roman"/>
        <w:b/>
        <w:noProof/>
        <w:lang w:val="ru-RU"/>
      </w:rPr>
    </w:pPr>
    <w:r w:rsidRPr="003D070B">
      <w:rPr>
        <w:rFonts w:eastAsia="Times New Roman" w:cs="Times New Roman"/>
        <w:b/>
        <w:noProof/>
        <w:lang w:val="ru-RU"/>
      </w:rPr>
      <w:t>ПРОГРАМА ЗА РАЗВИТИЕ НА СЕЛСКИТЕ РАЙОНИ 2014 – 2020 г.</w:t>
    </w:r>
  </w:p>
  <w:p w:rsidR="00101E3F" w:rsidRPr="008A5CED" w:rsidRDefault="00101E3F" w:rsidP="00101E3F">
    <w:pPr>
      <w:widowControl w:val="0"/>
      <w:autoSpaceDE w:val="0"/>
      <w:autoSpaceDN w:val="0"/>
      <w:adjustRightInd w:val="0"/>
      <w:spacing w:after="0" w:line="240" w:lineRule="auto"/>
      <w:jc w:val="center"/>
      <w:rPr>
        <w:rFonts w:eastAsia="Times New Roman" w:cs="Times New Roman"/>
        <w:b/>
        <w:iCs/>
        <w:color w:val="000000"/>
        <w:spacing w:val="3"/>
        <w:sz w:val="20"/>
        <w:szCs w:val="20"/>
        <w:lang w:eastAsia="bg-BG"/>
      </w:rPr>
    </w:pPr>
    <w:proofErr w:type="spellStart"/>
    <w:r w:rsidRPr="008A5CED">
      <w:rPr>
        <w:rFonts w:eastAsia="Times New Roman" w:cs="Times New Roman"/>
        <w:b/>
        <w:iCs/>
        <w:color w:val="000000"/>
        <w:spacing w:val="3"/>
        <w:sz w:val="20"/>
        <w:szCs w:val="20"/>
        <w:lang w:eastAsia="bg-BG"/>
      </w:rPr>
      <w:t>Сдружение</w:t>
    </w:r>
    <w:proofErr w:type="spellEnd"/>
    <w:r w:rsidRPr="008A5CED">
      <w:rPr>
        <w:rFonts w:eastAsia="Times New Roman" w:cs="Times New Roman"/>
        <w:b/>
        <w:iCs/>
        <w:color w:val="000000"/>
        <w:spacing w:val="3"/>
        <w:sz w:val="20"/>
        <w:szCs w:val="20"/>
        <w:lang w:eastAsia="bg-BG"/>
      </w:rPr>
      <w:t xml:space="preserve"> „МИГ </w:t>
    </w:r>
    <w:proofErr w:type="spellStart"/>
    <w:r>
      <w:rPr>
        <w:rFonts w:eastAsia="Times New Roman" w:cs="Times New Roman"/>
        <w:b/>
        <w:iCs/>
        <w:color w:val="000000"/>
        <w:spacing w:val="3"/>
        <w:sz w:val="20"/>
        <w:szCs w:val="20"/>
        <w:lang w:eastAsia="bg-BG"/>
      </w:rPr>
      <w:t>Луковит-Роман</w:t>
    </w:r>
    <w:proofErr w:type="spellEnd"/>
    <w:r w:rsidRPr="008A5CED">
      <w:rPr>
        <w:rFonts w:eastAsia="Times New Roman" w:cs="Times New Roman"/>
        <w:b/>
        <w:iCs/>
        <w:color w:val="000000"/>
        <w:spacing w:val="3"/>
        <w:sz w:val="20"/>
        <w:szCs w:val="20"/>
        <w:lang w:eastAsia="bg-BG"/>
      </w:rPr>
      <w:t xml:space="preserve">” </w:t>
    </w:r>
  </w:p>
  <w:p w:rsidR="00101E3F" w:rsidRPr="00101E3F" w:rsidRDefault="00101E3F" w:rsidP="00101E3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5062F"/>
    <w:multiLevelType w:val="hybridMultilevel"/>
    <w:tmpl w:val="B258583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840555"/>
    <w:multiLevelType w:val="hybridMultilevel"/>
    <w:tmpl w:val="B258583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2DF"/>
    <w:rsid w:val="00101E3F"/>
    <w:rsid w:val="00144422"/>
    <w:rsid w:val="001F6E22"/>
    <w:rsid w:val="002539CC"/>
    <w:rsid w:val="00276F9C"/>
    <w:rsid w:val="0039470C"/>
    <w:rsid w:val="003E6313"/>
    <w:rsid w:val="0043472B"/>
    <w:rsid w:val="004527C5"/>
    <w:rsid w:val="004F75D1"/>
    <w:rsid w:val="0054270E"/>
    <w:rsid w:val="005440D3"/>
    <w:rsid w:val="005A4780"/>
    <w:rsid w:val="00611ED8"/>
    <w:rsid w:val="006127C5"/>
    <w:rsid w:val="006C35DB"/>
    <w:rsid w:val="006C4A5C"/>
    <w:rsid w:val="006D5F3C"/>
    <w:rsid w:val="00746775"/>
    <w:rsid w:val="007C32A5"/>
    <w:rsid w:val="008257A6"/>
    <w:rsid w:val="008A67F4"/>
    <w:rsid w:val="008D1991"/>
    <w:rsid w:val="00954129"/>
    <w:rsid w:val="009E5A8F"/>
    <w:rsid w:val="00A66457"/>
    <w:rsid w:val="00B47377"/>
    <w:rsid w:val="00B93EB7"/>
    <w:rsid w:val="00B950F2"/>
    <w:rsid w:val="00CC4F32"/>
    <w:rsid w:val="00D87DB6"/>
    <w:rsid w:val="00E25354"/>
    <w:rsid w:val="00EC24C6"/>
    <w:rsid w:val="00EE12DF"/>
    <w:rsid w:val="00EF5F6A"/>
    <w:rsid w:val="00F85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2B540"/>
  <w15:docId w15:val="{BADFA69F-23E1-4342-9263-77FC71837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73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B4737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473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44422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01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101E3F"/>
  </w:style>
  <w:style w:type="paragraph" w:styleId="a9">
    <w:name w:val="footer"/>
    <w:basedOn w:val="a"/>
    <w:link w:val="aa"/>
    <w:uiPriority w:val="99"/>
    <w:unhideWhenUsed/>
    <w:rsid w:val="00101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101E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5" Type="http://schemas.openxmlformats.org/officeDocument/2006/relationships/image" Target="media/image5.em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dcterms:created xsi:type="dcterms:W3CDTF">2022-01-19T06:38:00Z</dcterms:created>
  <dcterms:modified xsi:type="dcterms:W3CDTF">2022-08-30T07:13:00Z</dcterms:modified>
</cp:coreProperties>
</file>